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431" w:tblpY="-411"/>
        <w:tblW w:w="10768" w:type="dxa"/>
        <w:tblLook w:val="04A0" w:firstRow="1" w:lastRow="0" w:firstColumn="1" w:lastColumn="0" w:noHBand="0" w:noVBand="1"/>
      </w:tblPr>
      <w:tblGrid>
        <w:gridCol w:w="5240"/>
        <w:gridCol w:w="1843"/>
        <w:gridCol w:w="3685"/>
      </w:tblGrid>
      <w:tr w:rsidR="00A60753" w:rsidRPr="00A60753" w14:paraId="083DA171" w14:textId="77777777" w:rsidTr="00E73F05">
        <w:tc>
          <w:tcPr>
            <w:tcW w:w="5240" w:type="dxa"/>
          </w:tcPr>
          <w:p w14:paraId="52187F5E" w14:textId="01148875" w:rsidR="00A60753" w:rsidRPr="00A60753" w:rsidRDefault="00293940" w:rsidP="00A60753">
            <w:pPr>
              <w:pStyle w:val="ListParagraph"/>
              <w:numPr>
                <w:ilvl w:val="0"/>
                <w:numId w:val="1"/>
              </w:numPr>
              <w:rPr>
                <w:sz w:val="20"/>
                <w:szCs w:val="20"/>
              </w:rPr>
            </w:pPr>
            <w:r>
              <w:rPr>
                <w:sz w:val="20"/>
                <w:szCs w:val="20"/>
              </w:rPr>
              <w:t>The name of the report published by Truman’s committee of liberals</w:t>
            </w:r>
            <w:r w:rsidR="00244F52">
              <w:rPr>
                <w:sz w:val="20"/>
                <w:szCs w:val="20"/>
              </w:rPr>
              <w:t xml:space="preserve"> in 1946 </w:t>
            </w:r>
            <w:r>
              <w:rPr>
                <w:sz w:val="20"/>
                <w:szCs w:val="20"/>
              </w:rPr>
              <w:t>(despite advisors warning that this was ‘political suicide’).</w:t>
            </w:r>
            <w:r w:rsidR="00244F52">
              <w:rPr>
                <w:sz w:val="20"/>
                <w:szCs w:val="20"/>
              </w:rPr>
              <w:t xml:space="preserve"> It recommended anti-lynching legislation, abolishing the poll tax, creating voting rights laws and ending discrimination in interstate travel, the armed forces and employment. </w:t>
            </w:r>
            <w:r w:rsidR="00244F52">
              <w:rPr>
                <w:sz w:val="20"/>
                <w:szCs w:val="20"/>
              </w:rPr>
              <w:t xml:space="preserve">Truman asked </w:t>
            </w:r>
            <w:r w:rsidR="00244F52">
              <w:rPr>
                <w:sz w:val="20"/>
                <w:szCs w:val="20"/>
              </w:rPr>
              <w:t xml:space="preserve">Congress </w:t>
            </w:r>
            <w:r w:rsidR="00244F52">
              <w:rPr>
                <w:sz w:val="20"/>
                <w:szCs w:val="20"/>
              </w:rPr>
              <w:t>for these recommendations</w:t>
            </w:r>
            <w:r w:rsidR="00244F52">
              <w:rPr>
                <w:sz w:val="20"/>
                <w:szCs w:val="20"/>
              </w:rPr>
              <w:t xml:space="preserve"> to be implemented in 1947 and 1948. </w:t>
            </w:r>
          </w:p>
        </w:tc>
        <w:tc>
          <w:tcPr>
            <w:tcW w:w="1843" w:type="dxa"/>
            <w:vMerge w:val="restart"/>
            <w:tcBorders>
              <w:top w:val="nil"/>
              <w:bottom w:val="nil"/>
            </w:tcBorders>
          </w:tcPr>
          <w:p w14:paraId="10DB0F9E" w14:textId="77777777" w:rsidR="00A60753" w:rsidRPr="00A60753" w:rsidRDefault="00A60753" w:rsidP="00A60753">
            <w:pPr>
              <w:rPr>
                <w:sz w:val="20"/>
                <w:szCs w:val="20"/>
              </w:rPr>
            </w:pPr>
          </w:p>
        </w:tc>
        <w:tc>
          <w:tcPr>
            <w:tcW w:w="3685" w:type="dxa"/>
          </w:tcPr>
          <w:p w14:paraId="3EF2EB67" w14:textId="0FD99C8B" w:rsidR="00A60753" w:rsidRPr="00E73F05" w:rsidRDefault="00E73F05" w:rsidP="00A60753">
            <w:pPr>
              <w:rPr>
                <w:sz w:val="20"/>
                <w:szCs w:val="20"/>
              </w:rPr>
            </w:pPr>
            <w:r w:rsidRPr="00E73F05">
              <w:rPr>
                <w:sz w:val="20"/>
                <w:szCs w:val="20"/>
              </w:rPr>
              <w:t>Weeks before Park’s arrest, a black mother had placed her two babies on the front ‘white’ seats whilst paying. The driver shouted ‘take the black dirty brats off the seats’, hit the accelerator and the babies fell off into the aisle</w:t>
            </w:r>
            <w:r w:rsidRPr="00E73F05">
              <w:rPr>
                <w:sz w:val="20"/>
                <w:szCs w:val="20"/>
              </w:rPr>
              <w:t>.</w:t>
            </w:r>
          </w:p>
        </w:tc>
      </w:tr>
      <w:tr w:rsidR="00244F52" w:rsidRPr="00A60753" w14:paraId="36FD7BE9" w14:textId="77777777" w:rsidTr="00E73F05">
        <w:tc>
          <w:tcPr>
            <w:tcW w:w="5240" w:type="dxa"/>
          </w:tcPr>
          <w:p w14:paraId="6CA7B1AC" w14:textId="1273E2E3" w:rsidR="00244F52" w:rsidRDefault="00244F52" w:rsidP="00244F52">
            <w:pPr>
              <w:pStyle w:val="ListParagraph"/>
              <w:numPr>
                <w:ilvl w:val="0"/>
                <w:numId w:val="1"/>
              </w:numPr>
              <w:rPr>
                <w:sz w:val="20"/>
                <w:szCs w:val="20"/>
              </w:rPr>
            </w:pPr>
            <w:r>
              <w:rPr>
                <w:sz w:val="20"/>
                <w:szCs w:val="20"/>
              </w:rPr>
              <w:t>The difference between Northern and Southern segregation.</w:t>
            </w:r>
          </w:p>
        </w:tc>
        <w:tc>
          <w:tcPr>
            <w:tcW w:w="1843" w:type="dxa"/>
            <w:vMerge/>
            <w:tcBorders>
              <w:top w:val="nil"/>
              <w:bottom w:val="nil"/>
            </w:tcBorders>
          </w:tcPr>
          <w:p w14:paraId="78580FA3" w14:textId="77777777" w:rsidR="00244F52" w:rsidRPr="00A60753" w:rsidRDefault="00244F52" w:rsidP="00244F52">
            <w:pPr>
              <w:rPr>
                <w:sz w:val="20"/>
                <w:szCs w:val="20"/>
              </w:rPr>
            </w:pPr>
          </w:p>
        </w:tc>
        <w:tc>
          <w:tcPr>
            <w:tcW w:w="3685" w:type="dxa"/>
          </w:tcPr>
          <w:p w14:paraId="655CDFAA" w14:textId="327E3D61" w:rsidR="00244F52" w:rsidRPr="00E73F05" w:rsidRDefault="004C7345" w:rsidP="00244F52">
            <w:pPr>
              <w:rPr>
                <w:sz w:val="20"/>
                <w:szCs w:val="20"/>
              </w:rPr>
            </w:pPr>
            <w:r w:rsidRPr="00E73F05">
              <w:rPr>
                <w:sz w:val="20"/>
                <w:szCs w:val="20"/>
              </w:rPr>
              <w:t>SNCC</w:t>
            </w:r>
          </w:p>
        </w:tc>
      </w:tr>
      <w:tr w:rsidR="00244F52" w:rsidRPr="00A60753" w14:paraId="624D563C" w14:textId="77777777" w:rsidTr="00E73F05">
        <w:tc>
          <w:tcPr>
            <w:tcW w:w="5240" w:type="dxa"/>
          </w:tcPr>
          <w:p w14:paraId="23E308D0" w14:textId="64706649" w:rsidR="00244F52" w:rsidRPr="00A60753" w:rsidRDefault="00244F52" w:rsidP="00244F52">
            <w:pPr>
              <w:pStyle w:val="ListParagraph"/>
              <w:numPr>
                <w:ilvl w:val="0"/>
                <w:numId w:val="1"/>
              </w:numPr>
              <w:rPr>
                <w:sz w:val="20"/>
                <w:szCs w:val="20"/>
              </w:rPr>
            </w:pPr>
            <w:r>
              <w:rPr>
                <w:sz w:val="20"/>
                <w:szCs w:val="20"/>
              </w:rPr>
              <w:t xml:space="preserve">Two pieces of legislation passed through Congress by Truman in 1948 and 1951. Neither were very successful but advertised presidential commitment to equality.  </w:t>
            </w:r>
          </w:p>
        </w:tc>
        <w:tc>
          <w:tcPr>
            <w:tcW w:w="1843" w:type="dxa"/>
            <w:vMerge/>
            <w:tcBorders>
              <w:top w:val="nil"/>
              <w:bottom w:val="nil"/>
            </w:tcBorders>
          </w:tcPr>
          <w:p w14:paraId="57D5DC9E" w14:textId="77777777" w:rsidR="00244F52" w:rsidRPr="00A60753" w:rsidRDefault="00244F52" w:rsidP="00244F52">
            <w:pPr>
              <w:rPr>
                <w:sz w:val="20"/>
                <w:szCs w:val="20"/>
              </w:rPr>
            </w:pPr>
          </w:p>
        </w:tc>
        <w:tc>
          <w:tcPr>
            <w:tcW w:w="3685" w:type="dxa"/>
          </w:tcPr>
          <w:p w14:paraId="427D770F" w14:textId="1E021AE9" w:rsidR="00244F52" w:rsidRPr="00E73F05" w:rsidRDefault="00244F52" w:rsidP="00244F52">
            <w:pPr>
              <w:rPr>
                <w:sz w:val="20"/>
                <w:szCs w:val="20"/>
              </w:rPr>
            </w:pPr>
            <w:r w:rsidRPr="00E73F05">
              <w:rPr>
                <w:i/>
                <w:sz w:val="20"/>
                <w:szCs w:val="20"/>
              </w:rPr>
              <w:t>To Secure these Rights</w:t>
            </w:r>
          </w:p>
        </w:tc>
      </w:tr>
      <w:tr w:rsidR="00244F52" w:rsidRPr="00A60753" w14:paraId="5428E75E" w14:textId="77777777" w:rsidTr="00E73F05">
        <w:tc>
          <w:tcPr>
            <w:tcW w:w="5240" w:type="dxa"/>
          </w:tcPr>
          <w:p w14:paraId="48F5C4B5" w14:textId="2E6C3C0A" w:rsidR="00244F52" w:rsidRPr="00A60753" w:rsidRDefault="00244F52" w:rsidP="00244F52">
            <w:pPr>
              <w:pStyle w:val="ListParagraph"/>
              <w:numPr>
                <w:ilvl w:val="0"/>
                <w:numId w:val="1"/>
              </w:numPr>
              <w:rPr>
                <w:sz w:val="20"/>
                <w:szCs w:val="20"/>
              </w:rPr>
            </w:pPr>
            <w:r>
              <w:rPr>
                <w:sz w:val="20"/>
                <w:szCs w:val="20"/>
              </w:rPr>
              <w:t>The main strategy of the NAACP</w:t>
            </w:r>
            <w:r w:rsidR="00603DB8">
              <w:rPr>
                <w:sz w:val="20"/>
                <w:szCs w:val="20"/>
              </w:rPr>
              <w:t xml:space="preserve"> alongside other protests. </w:t>
            </w:r>
          </w:p>
        </w:tc>
        <w:tc>
          <w:tcPr>
            <w:tcW w:w="1843" w:type="dxa"/>
            <w:vMerge/>
            <w:tcBorders>
              <w:top w:val="nil"/>
              <w:bottom w:val="nil"/>
            </w:tcBorders>
          </w:tcPr>
          <w:p w14:paraId="17882128" w14:textId="77777777" w:rsidR="00244F52" w:rsidRPr="00A60753" w:rsidRDefault="00244F52" w:rsidP="00244F52">
            <w:pPr>
              <w:rPr>
                <w:sz w:val="20"/>
                <w:szCs w:val="20"/>
              </w:rPr>
            </w:pPr>
          </w:p>
        </w:tc>
        <w:tc>
          <w:tcPr>
            <w:tcW w:w="3685" w:type="dxa"/>
          </w:tcPr>
          <w:p w14:paraId="5C6CC75B" w14:textId="23B047C7" w:rsidR="00244F52" w:rsidRPr="00E73F05" w:rsidRDefault="003721D5" w:rsidP="00244F52">
            <w:pPr>
              <w:rPr>
                <w:sz w:val="20"/>
                <w:szCs w:val="20"/>
              </w:rPr>
            </w:pPr>
            <w:r w:rsidRPr="00E73F05">
              <w:rPr>
                <w:sz w:val="20"/>
                <w:szCs w:val="20"/>
              </w:rPr>
              <w:t xml:space="preserve">Martin Luther King Jr. </w:t>
            </w:r>
          </w:p>
        </w:tc>
      </w:tr>
      <w:tr w:rsidR="00E73F05" w:rsidRPr="00A60753" w14:paraId="703495AE" w14:textId="77777777" w:rsidTr="00E73F05">
        <w:tc>
          <w:tcPr>
            <w:tcW w:w="5240" w:type="dxa"/>
          </w:tcPr>
          <w:p w14:paraId="7E765903" w14:textId="2A5A4232" w:rsidR="00E73F05" w:rsidRPr="00A60753" w:rsidRDefault="00E73F05" w:rsidP="00E73F05">
            <w:pPr>
              <w:pStyle w:val="ListParagraph"/>
              <w:numPr>
                <w:ilvl w:val="0"/>
                <w:numId w:val="1"/>
              </w:numPr>
              <w:rPr>
                <w:sz w:val="20"/>
                <w:szCs w:val="20"/>
              </w:rPr>
            </w:pPr>
            <w:r>
              <w:rPr>
                <w:sz w:val="20"/>
                <w:szCs w:val="20"/>
              </w:rPr>
              <w:t xml:space="preserve">The leading NAACP lawyer who fought the </w:t>
            </w:r>
            <w:r>
              <w:rPr>
                <w:i/>
                <w:sz w:val="20"/>
                <w:szCs w:val="20"/>
              </w:rPr>
              <w:t>Brown</w:t>
            </w:r>
            <w:r>
              <w:rPr>
                <w:sz w:val="20"/>
                <w:szCs w:val="20"/>
              </w:rPr>
              <w:t xml:space="preserve"> case.  </w:t>
            </w:r>
          </w:p>
        </w:tc>
        <w:tc>
          <w:tcPr>
            <w:tcW w:w="1843" w:type="dxa"/>
            <w:vMerge/>
            <w:tcBorders>
              <w:top w:val="nil"/>
              <w:bottom w:val="nil"/>
            </w:tcBorders>
          </w:tcPr>
          <w:p w14:paraId="1D41B304" w14:textId="77777777" w:rsidR="00E73F05" w:rsidRPr="00A60753" w:rsidRDefault="00E73F05" w:rsidP="00E73F05">
            <w:pPr>
              <w:rPr>
                <w:sz w:val="20"/>
                <w:szCs w:val="20"/>
              </w:rPr>
            </w:pPr>
          </w:p>
        </w:tc>
        <w:tc>
          <w:tcPr>
            <w:tcW w:w="3685" w:type="dxa"/>
          </w:tcPr>
          <w:p w14:paraId="7C7D5BB8" w14:textId="5BBD1CA4" w:rsidR="00E73F05" w:rsidRPr="00E73F05" w:rsidRDefault="00E73F05" w:rsidP="00E73F05">
            <w:pPr>
              <w:rPr>
                <w:i/>
                <w:sz w:val="20"/>
                <w:szCs w:val="20"/>
              </w:rPr>
            </w:pPr>
            <w:r w:rsidRPr="00E73F05">
              <w:rPr>
                <w:sz w:val="20"/>
                <w:szCs w:val="20"/>
              </w:rPr>
              <w:t xml:space="preserve">Litigation, to erode </w:t>
            </w:r>
            <w:r w:rsidRPr="00E73F05">
              <w:rPr>
                <w:i/>
                <w:sz w:val="20"/>
                <w:szCs w:val="20"/>
              </w:rPr>
              <w:t>Plessy v Ferguson 1896</w:t>
            </w:r>
          </w:p>
        </w:tc>
      </w:tr>
      <w:tr w:rsidR="00E73F05" w:rsidRPr="00A60753" w14:paraId="1F2DD38A" w14:textId="77777777" w:rsidTr="00E73F05">
        <w:tc>
          <w:tcPr>
            <w:tcW w:w="5240" w:type="dxa"/>
          </w:tcPr>
          <w:p w14:paraId="7F33A8E7" w14:textId="44E4C61E" w:rsidR="00E73F05" w:rsidRPr="00A60753" w:rsidRDefault="00E73F05" w:rsidP="00E73F05">
            <w:pPr>
              <w:pStyle w:val="ListParagraph"/>
              <w:numPr>
                <w:ilvl w:val="0"/>
                <w:numId w:val="1"/>
              </w:numPr>
              <w:rPr>
                <w:sz w:val="20"/>
                <w:szCs w:val="20"/>
              </w:rPr>
            </w:pPr>
            <w:r w:rsidRPr="00A60753">
              <w:rPr>
                <w:sz w:val="20"/>
                <w:szCs w:val="20"/>
              </w:rPr>
              <w:t>T</w:t>
            </w:r>
            <w:r>
              <w:rPr>
                <w:sz w:val="20"/>
                <w:szCs w:val="20"/>
              </w:rPr>
              <w:t>wo</w:t>
            </w:r>
            <w:r w:rsidRPr="00A60753">
              <w:rPr>
                <w:sz w:val="20"/>
                <w:szCs w:val="20"/>
              </w:rPr>
              <w:t xml:space="preserve"> problems with the SC’s </w:t>
            </w:r>
            <w:r w:rsidRPr="00603DB8">
              <w:rPr>
                <w:i/>
                <w:sz w:val="20"/>
                <w:szCs w:val="20"/>
              </w:rPr>
              <w:t>Brown</w:t>
            </w:r>
            <w:r w:rsidRPr="00A60753">
              <w:rPr>
                <w:sz w:val="20"/>
                <w:szCs w:val="20"/>
              </w:rPr>
              <w:t xml:space="preserve"> ruling in 1954</w:t>
            </w:r>
            <w:r>
              <w:rPr>
                <w:sz w:val="20"/>
                <w:szCs w:val="20"/>
              </w:rPr>
              <w:t xml:space="preserve"> and </w:t>
            </w:r>
            <w:r w:rsidRPr="00603DB8">
              <w:rPr>
                <w:i/>
                <w:sz w:val="20"/>
                <w:szCs w:val="20"/>
              </w:rPr>
              <w:t>Brown II</w:t>
            </w:r>
            <w:r>
              <w:rPr>
                <w:sz w:val="20"/>
                <w:szCs w:val="20"/>
              </w:rPr>
              <w:t>’s ruling in 1955</w:t>
            </w:r>
          </w:p>
        </w:tc>
        <w:tc>
          <w:tcPr>
            <w:tcW w:w="1843" w:type="dxa"/>
            <w:vMerge/>
            <w:tcBorders>
              <w:top w:val="nil"/>
              <w:bottom w:val="nil"/>
            </w:tcBorders>
          </w:tcPr>
          <w:p w14:paraId="7BE3A97E" w14:textId="77777777" w:rsidR="00E73F05" w:rsidRPr="00A60753" w:rsidRDefault="00E73F05" w:rsidP="00E73F05">
            <w:pPr>
              <w:rPr>
                <w:sz w:val="20"/>
                <w:szCs w:val="20"/>
              </w:rPr>
            </w:pPr>
          </w:p>
        </w:tc>
        <w:tc>
          <w:tcPr>
            <w:tcW w:w="3685" w:type="dxa"/>
          </w:tcPr>
          <w:p w14:paraId="67EA3631" w14:textId="196D4415" w:rsidR="00E73F05" w:rsidRPr="00E73F05" w:rsidRDefault="00E73F05" w:rsidP="00E73F05">
            <w:pPr>
              <w:rPr>
                <w:sz w:val="20"/>
                <w:szCs w:val="20"/>
              </w:rPr>
            </w:pPr>
            <w:r w:rsidRPr="00E73F05">
              <w:rPr>
                <w:sz w:val="20"/>
                <w:szCs w:val="20"/>
              </w:rPr>
              <w:t>In America’s top ten most admired men</w:t>
            </w:r>
          </w:p>
        </w:tc>
      </w:tr>
      <w:tr w:rsidR="00E73F05" w:rsidRPr="00A60753" w14:paraId="2770AC14" w14:textId="77777777" w:rsidTr="00E73F05">
        <w:tc>
          <w:tcPr>
            <w:tcW w:w="5240" w:type="dxa"/>
          </w:tcPr>
          <w:p w14:paraId="3F67296B" w14:textId="15BCC4B4" w:rsidR="00E73F05" w:rsidRPr="00A60753" w:rsidRDefault="00E73F05" w:rsidP="00E73F05">
            <w:pPr>
              <w:pStyle w:val="ListParagraph"/>
              <w:numPr>
                <w:ilvl w:val="0"/>
                <w:numId w:val="1"/>
              </w:numPr>
              <w:rPr>
                <w:sz w:val="20"/>
                <w:szCs w:val="20"/>
              </w:rPr>
            </w:pPr>
            <w:r w:rsidRPr="00A60753">
              <w:rPr>
                <w:sz w:val="20"/>
                <w:szCs w:val="20"/>
              </w:rPr>
              <w:t>The name of the liberal Chief Justice of the Supreme Court under Eisenhower</w:t>
            </w:r>
            <w:r>
              <w:rPr>
                <w:sz w:val="20"/>
                <w:szCs w:val="20"/>
              </w:rPr>
              <w:t xml:space="preserve"> (who later said that this nomination was the ‘biggest damn fool mistake’ he’d ever made. </w:t>
            </w:r>
          </w:p>
        </w:tc>
        <w:tc>
          <w:tcPr>
            <w:tcW w:w="1843" w:type="dxa"/>
            <w:vMerge/>
            <w:tcBorders>
              <w:bottom w:val="nil"/>
            </w:tcBorders>
          </w:tcPr>
          <w:p w14:paraId="73ACBEA4" w14:textId="77777777" w:rsidR="00E73F05" w:rsidRPr="00A60753" w:rsidRDefault="00E73F05" w:rsidP="00E73F05">
            <w:pPr>
              <w:rPr>
                <w:sz w:val="20"/>
                <w:szCs w:val="20"/>
              </w:rPr>
            </w:pPr>
          </w:p>
        </w:tc>
        <w:tc>
          <w:tcPr>
            <w:tcW w:w="3685" w:type="dxa"/>
          </w:tcPr>
          <w:p w14:paraId="451A9270" w14:textId="1E8B07D3" w:rsidR="00E73F05" w:rsidRPr="00E73F05" w:rsidRDefault="00E73F05" w:rsidP="00E73F05">
            <w:pPr>
              <w:rPr>
                <w:sz w:val="20"/>
                <w:szCs w:val="20"/>
              </w:rPr>
            </w:pPr>
            <w:r w:rsidRPr="00E73F05">
              <w:rPr>
                <w:sz w:val="20"/>
                <w:szCs w:val="20"/>
              </w:rPr>
              <w:t xml:space="preserve">Earl Warren </w:t>
            </w:r>
          </w:p>
        </w:tc>
      </w:tr>
      <w:tr w:rsidR="00E73F05" w:rsidRPr="00A60753" w14:paraId="7D566DB2" w14:textId="77777777" w:rsidTr="00E73F05">
        <w:tc>
          <w:tcPr>
            <w:tcW w:w="5240" w:type="dxa"/>
          </w:tcPr>
          <w:p w14:paraId="2886497E" w14:textId="1EBC5A2B" w:rsidR="00E73F05" w:rsidRPr="00A60753" w:rsidRDefault="00E73F05" w:rsidP="00E73F05">
            <w:pPr>
              <w:pStyle w:val="ListParagraph"/>
              <w:numPr>
                <w:ilvl w:val="0"/>
                <w:numId w:val="1"/>
              </w:numPr>
              <w:rPr>
                <w:sz w:val="20"/>
                <w:szCs w:val="20"/>
              </w:rPr>
            </w:pPr>
            <w:r w:rsidRPr="00A60753">
              <w:rPr>
                <w:sz w:val="20"/>
                <w:szCs w:val="20"/>
              </w:rPr>
              <w:t>The number of black students prevented from entering Little Rock High, sept 1957.</w:t>
            </w:r>
          </w:p>
        </w:tc>
        <w:tc>
          <w:tcPr>
            <w:tcW w:w="1843" w:type="dxa"/>
            <w:vMerge/>
            <w:tcBorders>
              <w:bottom w:val="nil"/>
            </w:tcBorders>
          </w:tcPr>
          <w:p w14:paraId="42BE3287" w14:textId="77777777" w:rsidR="00E73F05" w:rsidRPr="00A60753" w:rsidRDefault="00E73F05" w:rsidP="00E73F05">
            <w:pPr>
              <w:rPr>
                <w:sz w:val="20"/>
                <w:szCs w:val="20"/>
              </w:rPr>
            </w:pPr>
          </w:p>
        </w:tc>
        <w:tc>
          <w:tcPr>
            <w:tcW w:w="3685" w:type="dxa"/>
          </w:tcPr>
          <w:p w14:paraId="15A53106" w14:textId="268F4DC5" w:rsidR="00E73F05" w:rsidRPr="00E73F05" w:rsidRDefault="00E73F05" w:rsidP="00E73F05">
            <w:pPr>
              <w:rPr>
                <w:sz w:val="20"/>
                <w:szCs w:val="20"/>
              </w:rPr>
            </w:pPr>
            <w:r w:rsidRPr="00E73F05">
              <w:rPr>
                <w:sz w:val="20"/>
                <w:szCs w:val="20"/>
              </w:rPr>
              <w:t>Thurgood Marshall</w:t>
            </w:r>
          </w:p>
        </w:tc>
      </w:tr>
      <w:tr w:rsidR="00E73F05" w:rsidRPr="00A60753" w14:paraId="0F3DAA6A" w14:textId="77777777" w:rsidTr="00E73F05">
        <w:tc>
          <w:tcPr>
            <w:tcW w:w="5240" w:type="dxa"/>
          </w:tcPr>
          <w:p w14:paraId="77BB408B" w14:textId="09C890A9" w:rsidR="00E73F05" w:rsidRPr="00A60753" w:rsidRDefault="00E73F05" w:rsidP="00E73F05">
            <w:pPr>
              <w:pStyle w:val="ListParagraph"/>
              <w:numPr>
                <w:ilvl w:val="0"/>
                <w:numId w:val="1"/>
              </w:numPr>
              <w:rPr>
                <w:sz w:val="20"/>
                <w:szCs w:val="20"/>
              </w:rPr>
            </w:pPr>
            <w:r w:rsidRPr="00A60753">
              <w:rPr>
                <w:sz w:val="20"/>
                <w:szCs w:val="20"/>
              </w:rPr>
              <w:t>What Orval Faubus was voted by a public opinion poll in 1958</w:t>
            </w:r>
          </w:p>
        </w:tc>
        <w:tc>
          <w:tcPr>
            <w:tcW w:w="1843" w:type="dxa"/>
            <w:vMerge/>
            <w:tcBorders>
              <w:bottom w:val="nil"/>
            </w:tcBorders>
          </w:tcPr>
          <w:p w14:paraId="65A81080" w14:textId="77777777" w:rsidR="00E73F05" w:rsidRPr="00A60753" w:rsidRDefault="00E73F05" w:rsidP="00E73F05">
            <w:pPr>
              <w:rPr>
                <w:sz w:val="20"/>
                <w:szCs w:val="20"/>
              </w:rPr>
            </w:pPr>
          </w:p>
        </w:tc>
        <w:tc>
          <w:tcPr>
            <w:tcW w:w="3685" w:type="dxa"/>
          </w:tcPr>
          <w:p w14:paraId="7B8DF003" w14:textId="55E7647F" w:rsidR="00E73F05" w:rsidRPr="00E73F05" w:rsidRDefault="00E73F05" w:rsidP="00E73F05">
            <w:pPr>
              <w:rPr>
                <w:sz w:val="20"/>
                <w:szCs w:val="20"/>
              </w:rPr>
            </w:pPr>
            <w:r w:rsidRPr="00E73F05">
              <w:rPr>
                <w:sz w:val="20"/>
                <w:szCs w:val="20"/>
              </w:rPr>
              <w:t>381 days</w:t>
            </w:r>
          </w:p>
        </w:tc>
      </w:tr>
      <w:tr w:rsidR="00E73F05" w:rsidRPr="00A60753" w14:paraId="71825863" w14:textId="77777777" w:rsidTr="00E73F05">
        <w:tc>
          <w:tcPr>
            <w:tcW w:w="5240" w:type="dxa"/>
          </w:tcPr>
          <w:p w14:paraId="4BBF59C8" w14:textId="7E726E61" w:rsidR="00E73F05" w:rsidRPr="00A60753" w:rsidRDefault="00E73F05" w:rsidP="00E73F05">
            <w:pPr>
              <w:pStyle w:val="ListParagraph"/>
              <w:numPr>
                <w:ilvl w:val="0"/>
                <w:numId w:val="1"/>
              </w:numPr>
              <w:rPr>
                <w:sz w:val="20"/>
                <w:szCs w:val="20"/>
              </w:rPr>
            </w:pPr>
            <w:r>
              <w:rPr>
                <w:sz w:val="20"/>
                <w:szCs w:val="20"/>
              </w:rPr>
              <w:t xml:space="preserve">The leader and figurehead of the Montgomery Bus Boycott </w:t>
            </w:r>
          </w:p>
        </w:tc>
        <w:tc>
          <w:tcPr>
            <w:tcW w:w="1843" w:type="dxa"/>
            <w:vMerge/>
            <w:tcBorders>
              <w:bottom w:val="nil"/>
            </w:tcBorders>
          </w:tcPr>
          <w:p w14:paraId="06E42D1E" w14:textId="77777777" w:rsidR="00E73F05" w:rsidRPr="00A60753" w:rsidRDefault="00E73F05" w:rsidP="00E73F05">
            <w:pPr>
              <w:rPr>
                <w:sz w:val="20"/>
                <w:szCs w:val="20"/>
              </w:rPr>
            </w:pPr>
          </w:p>
        </w:tc>
        <w:tc>
          <w:tcPr>
            <w:tcW w:w="3685" w:type="dxa"/>
          </w:tcPr>
          <w:p w14:paraId="7AA39B1B" w14:textId="2116E540" w:rsidR="00E73F05" w:rsidRPr="00E73F05" w:rsidRDefault="00E73F05" w:rsidP="00E73F05">
            <w:pPr>
              <w:rPr>
                <w:sz w:val="20"/>
                <w:szCs w:val="20"/>
              </w:rPr>
            </w:pPr>
            <w:r w:rsidRPr="00E73F05">
              <w:rPr>
                <w:sz w:val="20"/>
                <w:szCs w:val="20"/>
              </w:rPr>
              <w:t xml:space="preserve">Claudette Colvin </w:t>
            </w:r>
          </w:p>
        </w:tc>
      </w:tr>
      <w:tr w:rsidR="00E73F05" w:rsidRPr="00A60753" w14:paraId="6E87C91F" w14:textId="77777777" w:rsidTr="00E73F05">
        <w:tc>
          <w:tcPr>
            <w:tcW w:w="5240" w:type="dxa"/>
          </w:tcPr>
          <w:p w14:paraId="3085B84A" w14:textId="544B4CD9" w:rsidR="00E73F05" w:rsidRPr="00A60753" w:rsidRDefault="00E73F05" w:rsidP="00E73F05">
            <w:pPr>
              <w:pStyle w:val="ListParagraph"/>
              <w:numPr>
                <w:ilvl w:val="0"/>
                <w:numId w:val="1"/>
              </w:numPr>
              <w:rPr>
                <w:sz w:val="20"/>
                <w:szCs w:val="20"/>
              </w:rPr>
            </w:pPr>
            <w:r w:rsidRPr="00A60753">
              <w:rPr>
                <w:sz w:val="20"/>
                <w:szCs w:val="20"/>
              </w:rPr>
              <w:t>The name of the girl originally selected as a test case for the bus segregation law</w:t>
            </w:r>
          </w:p>
        </w:tc>
        <w:tc>
          <w:tcPr>
            <w:tcW w:w="1843" w:type="dxa"/>
            <w:vMerge/>
            <w:tcBorders>
              <w:bottom w:val="nil"/>
            </w:tcBorders>
          </w:tcPr>
          <w:p w14:paraId="14FBBF22" w14:textId="77777777" w:rsidR="00E73F05" w:rsidRPr="00A60753" w:rsidRDefault="00E73F05" w:rsidP="00E73F05">
            <w:pPr>
              <w:rPr>
                <w:sz w:val="20"/>
                <w:szCs w:val="20"/>
              </w:rPr>
            </w:pPr>
          </w:p>
        </w:tc>
        <w:tc>
          <w:tcPr>
            <w:tcW w:w="3685" w:type="dxa"/>
          </w:tcPr>
          <w:p w14:paraId="18E0436F" w14:textId="5E42E747" w:rsidR="00E73F05" w:rsidRPr="00E73F05" w:rsidRDefault="00E73F05" w:rsidP="00E73F05">
            <w:pPr>
              <w:rPr>
                <w:sz w:val="20"/>
                <w:szCs w:val="20"/>
              </w:rPr>
            </w:pPr>
            <w:r w:rsidRPr="00E73F05">
              <w:rPr>
                <w:sz w:val="20"/>
                <w:szCs w:val="20"/>
              </w:rPr>
              <w:t>Browder vs Gale, 1956</w:t>
            </w:r>
          </w:p>
        </w:tc>
      </w:tr>
      <w:tr w:rsidR="00E73F05" w:rsidRPr="00A60753" w14:paraId="753CDE8A" w14:textId="77777777" w:rsidTr="00E73F05">
        <w:tc>
          <w:tcPr>
            <w:tcW w:w="5240" w:type="dxa"/>
          </w:tcPr>
          <w:p w14:paraId="6A3B9542" w14:textId="2B5598D4" w:rsidR="00E73F05" w:rsidRPr="00A60753" w:rsidRDefault="00E73F05" w:rsidP="00E73F05">
            <w:pPr>
              <w:pStyle w:val="ListParagraph"/>
              <w:numPr>
                <w:ilvl w:val="0"/>
                <w:numId w:val="1"/>
              </w:numPr>
              <w:rPr>
                <w:sz w:val="20"/>
                <w:szCs w:val="20"/>
              </w:rPr>
            </w:pPr>
            <w:r w:rsidRPr="00A60753">
              <w:rPr>
                <w:sz w:val="20"/>
                <w:szCs w:val="20"/>
              </w:rPr>
              <w:t>Where a previous boycott had taken place but failed</w:t>
            </w:r>
            <w:r>
              <w:rPr>
                <w:sz w:val="20"/>
                <w:szCs w:val="20"/>
              </w:rPr>
              <w:t xml:space="preserve">. Short term boycotts were not new. </w:t>
            </w:r>
          </w:p>
        </w:tc>
        <w:tc>
          <w:tcPr>
            <w:tcW w:w="1843" w:type="dxa"/>
            <w:vMerge/>
            <w:tcBorders>
              <w:bottom w:val="nil"/>
            </w:tcBorders>
          </w:tcPr>
          <w:p w14:paraId="0AD9ED81" w14:textId="77777777" w:rsidR="00E73F05" w:rsidRPr="00A60753" w:rsidRDefault="00E73F05" w:rsidP="00E73F05">
            <w:pPr>
              <w:rPr>
                <w:sz w:val="20"/>
                <w:szCs w:val="20"/>
              </w:rPr>
            </w:pPr>
          </w:p>
        </w:tc>
        <w:tc>
          <w:tcPr>
            <w:tcW w:w="3685" w:type="dxa"/>
          </w:tcPr>
          <w:p w14:paraId="6579303F" w14:textId="15184348" w:rsidR="00E73F05" w:rsidRPr="00E73F05" w:rsidRDefault="00E73F05" w:rsidP="00E73F05">
            <w:pPr>
              <w:rPr>
                <w:sz w:val="20"/>
                <w:szCs w:val="20"/>
              </w:rPr>
            </w:pPr>
            <w:r w:rsidRPr="00E73F05">
              <w:rPr>
                <w:sz w:val="20"/>
                <w:szCs w:val="20"/>
              </w:rPr>
              <w:t>Woolworths</w:t>
            </w:r>
          </w:p>
        </w:tc>
      </w:tr>
      <w:tr w:rsidR="00E73F05" w:rsidRPr="00A60753" w14:paraId="4A9BB8EE" w14:textId="77777777" w:rsidTr="00E73F05">
        <w:tc>
          <w:tcPr>
            <w:tcW w:w="5240" w:type="dxa"/>
          </w:tcPr>
          <w:p w14:paraId="3B32456D" w14:textId="0E9A1E48" w:rsidR="00E73F05" w:rsidRPr="00A60753" w:rsidRDefault="00E73F05" w:rsidP="00E73F05">
            <w:pPr>
              <w:pStyle w:val="ListParagraph"/>
              <w:numPr>
                <w:ilvl w:val="0"/>
                <w:numId w:val="1"/>
              </w:numPr>
              <w:rPr>
                <w:sz w:val="20"/>
                <w:szCs w:val="20"/>
              </w:rPr>
            </w:pPr>
            <w:r>
              <w:rPr>
                <w:sz w:val="20"/>
                <w:szCs w:val="20"/>
              </w:rPr>
              <w:t xml:space="preserve">The incident that triggered the bus boycott. </w:t>
            </w:r>
          </w:p>
        </w:tc>
        <w:tc>
          <w:tcPr>
            <w:tcW w:w="1843" w:type="dxa"/>
            <w:vMerge/>
            <w:tcBorders>
              <w:bottom w:val="nil"/>
            </w:tcBorders>
          </w:tcPr>
          <w:p w14:paraId="129E32A7" w14:textId="77777777" w:rsidR="00E73F05" w:rsidRPr="00A60753" w:rsidRDefault="00E73F05" w:rsidP="00E73F05">
            <w:pPr>
              <w:rPr>
                <w:sz w:val="20"/>
                <w:szCs w:val="20"/>
              </w:rPr>
            </w:pPr>
          </w:p>
        </w:tc>
        <w:tc>
          <w:tcPr>
            <w:tcW w:w="3685" w:type="dxa"/>
          </w:tcPr>
          <w:p w14:paraId="5A09F227" w14:textId="2FB52EAD" w:rsidR="00E73F05" w:rsidRPr="00E73F05" w:rsidRDefault="00E73F05" w:rsidP="00E73F05">
            <w:pPr>
              <w:rPr>
                <w:sz w:val="20"/>
                <w:szCs w:val="20"/>
              </w:rPr>
            </w:pPr>
            <w:r w:rsidRPr="00E73F05">
              <w:rPr>
                <w:sz w:val="20"/>
                <w:szCs w:val="20"/>
              </w:rPr>
              <w:t>65%</w:t>
            </w:r>
          </w:p>
        </w:tc>
      </w:tr>
      <w:tr w:rsidR="00E73F05" w:rsidRPr="00A60753" w14:paraId="689B7172" w14:textId="77777777" w:rsidTr="00E73F05">
        <w:tc>
          <w:tcPr>
            <w:tcW w:w="5240" w:type="dxa"/>
          </w:tcPr>
          <w:p w14:paraId="35969D98" w14:textId="01C9C1A8" w:rsidR="00E73F05" w:rsidRPr="00A60753" w:rsidRDefault="00E73F05" w:rsidP="00E73F05">
            <w:pPr>
              <w:pStyle w:val="ListParagraph"/>
              <w:numPr>
                <w:ilvl w:val="0"/>
                <w:numId w:val="1"/>
              </w:numPr>
              <w:rPr>
                <w:sz w:val="20"/>
                <w:szCs w:val="20"/>
              </w:rPr>
            </w:pPr>
            <w:r w:rsidRPr="00A60753">
              <w:rPr>
                <w:sz w:val="20"/>
                <w:szCs w:val="20"/>
              </w:rPr>
              <w:t xml:space="preserve">The membership figures of Montgomery’s White Citizen’s Council, February to March 1956 </w:t>
            </w:r>
            <w:r>
              <w:rPr>
                <w:sz w:val="20"/>
                <w:szCs w:val="20"/>
              </w:rPr>
              <w:t xml:space="preserve">(backlash). They introduced laws to harass activists (e.g. MLK arrested for driving at 30mph in a 25mph zone). </w:t>
            </w:r>
          </w:p>
        </w:tc>
        <w:tc>
          <w:tcPr>
            <w:tcW w:w="1843" w:type="dxa"/>
            <w:vMerge/>
            <w:tcBorders>
              <w:bottom w:val="nil"/>
            </w:tcBorders>
          </w:tcPr>
          <w:p w14:paraId="6E289034" w14:textId="77777777" w:rsidR="00E73F05" w:rsidRPr="00A60753" w:rsidRDefault="00E73F05" w:rsidP="00E73F05">
            <w:pPr>
              <w:rPr>
                <w:sz w:val="20"/>
                <w:szCs w:val="20"/>
              </w:rPr>
            </w:pPr>
          </w:p>
        </w:tc>
        <w:tc>
          <w:tcPr>
            <w:tcW w:w="3685" w:type="dxa"/>
          </w:tcPr>
          <w:p w14:paraId="25311FBE" w14:textId="53DD91B0" w:rsidR="00E73F05" w:rsidRPr="00E73F05" w:rsidRDefault="00E73F05" w:rsidP="00E73F05">
            <w:pPr>
              <w:rPr>
                <w:sz w:val="20"/>
                <w:szCs w:val="20"/>
              </w:rPr>
            </w:pPr>
            <w:r w:rsidRPr="00E73F05">
              <w:rPr>
                <w:sz w:val="20"/>
                <w:szCs w:val="20"/>
              </w:rPr>
              <w:t xml:space="preserve">The SC gave no date by which schools should be desegregated and said nothing about </w:t>
            </w:r>
            <w:r w:rsidRPr="00E73F05">
              <w:rPr>
                <w:i/>
                <w:sz w:val="20"/>
                <w:szCs w:val="20"/>
              </w:rPr>
              <w:t>de facto</w:t>
            </w:r>
            <w:r w:rsidRPr="00E73F05">
              <w:rPr>
                <w:sz w:val="20"/>
                <w:szCs w:val="20"/>
              </w:rPr>
              <w:t xml:space="preserve"> segregation (</w:t>
            </w:r>
            <w:r w:rsidRPr="00E73F05">
              <w:rPr>
                <w:rFonts w:cstheme="minorHAnsi"/>
                <w:sz w:val="20"/>
                <w:szCs w:val="20"/>
              </w:rPr>
              <w:t>by 1964 less than 3% of black children were attending desegregated schools).</w:t>
            </w:r>
          </w:p>
        </w:tc>
      </w:tr>
      <w:tr w:rsidR="00E73F05" w:rsidRPr="00A60753" w14:paraId="45B062FB" w14:textId="77777777" w:rsidTr="00E73F05">
        <w:tc>
          <w:tcPr>
            <w:tcW w:w="5240" w:type="dxa"/>
          </w:tcPr>
          <w:p w14:paraId="6D6CB5CA" w14:textId="10B7119B" w:rsidR="00E73F05" w:rsidRPr="00A60753" w:rsidRDefault="00E73F05" w:rsidP="00E73F05">
            <w:pPr>
              <w:pStyle w:val="ListParagraph"/>
              <w:numPr>
                <w:ilvl w:val="0"/>
                <w:numId w:val="1"/>
              </w:numPr>
              <w:rPr>
                <w:sz w:val="20"/>
                <w:szCs w:val="20"/>
              </w:rPr>
            </w:pPr>
            <w:r w:rsidRPr="00A60753">
              <w:rPr>
                <w:sz w:val="20"/>
                <w:szCs w:val="20"/>
              </w:rPr>
              <w:t>The % of profits lost by the Montgomery bus company</w:t>
            </w:r>
            <w:r>
              <w:rPr>
                <w:sz w:val="20"/>
                <w:szCs w:val="20"/>
              </w:rPr>
              <w:t xml:space="preserve">, proving the power of non-violent and </w:t>
            </w:r>
            <w:proofErr w:type="gramStart"/>
            <w:r>
              <w:rPr>
                <w:sz w:val="20"/>
                <w:szCs w:val="20"/>
              </w:rPr>
              <w:t>large scale</w:t>
            </w:r>
            <w:proofErr w:type="gramEnd"/>
            <w:r>
              <w:rPr>
                <w:sz w:val="20"/>
                <w:szCs w:val="20"/>
              </w:rPr>
              <w:t xml:space="preserve"> direct action. </w:t>
            </w:r>
            <w:r w:rsidRPr="00A60753">
              <w:rPr>
                <w:sz w:val="20"/>
                <w:szCs w:val="20"/>
              </w:rPr>
              <w:t xml:space="preserve"> </w:t>
            </w:r>
          </w:p>
        </w:tc>
        <w:tc>
          <w:tcPr>
            <w:tcW w:w="1843" w:type="dxa"/>
            <w:vMerge/>
            <w:tcBorders>
              <w:bottom w:val="nil"/>
            </w:tcBorders>
          </w:tcPr>
          <w:p w14:paraId="7E86FA12" w14:textId="77777777" w:rsidR="00E73F05" w:rsidRPr="00A60753" w:rsidRDefault="00E73F05" w:rsidP="00E73F05">
            <w:pPr>
              <w:rPr>
                <w:sz w:val="20"/>
                <w:szCs w:val="20"/>
              </w:rPr>
            </w:pPr>
          </w:p>
        </w:tc>
        <w:tc>
          <w:tcPr>
            <w:tcW w:w="3685" w:type="dxa"/>
          </w:tcPr>
          <w:p w14:paraId="1B346FC4" w14:textId="5BF72D00" w:rsidR="00E73F05" w:rsidRPr="00E73F05" w:rsidRDefault="00E73F05" w:rsidP="00E73F05">
            <w:pPr>
              <w:rPr>
                <w:sz w:val="20"/>
                <w:szCs w:val="20"/>
              </w:rPr>
            </w:pPr>
            <w:r w:rsidRPr="00E73F05">
              <w:rPr>
                <w:i/>
                <w:sz w:val="20"/>
                <w:szCs w:val="20"/>
              </w:rPr>
              <w:t xml:space="preserve">De Jure </w:t>
            </w:r>
            <w:r w:rsidRPr="00E73F05">
              <w:rPr>
                <w:sz w:val="20"/>
                <w:szCs w:val="20"/>
              </w:rPr>
              <w:t xml:space="preserve">(in law) and </w:t>
            </w:r>
            <w:r w:rsidRPr="00E73F05">
              <w:rPr>
                <w:i/>
                <w:sz w:val="20"/>
                <w:szCs w:val="20"/>
              </w:rPr>
              <w:t xml:space="preserve">De facto </w:t>
            </w:r>
            <w:r w:rsidRPr="00E73F05">
              <w:rPr>
                <w:sz w:val="20"/>
                <w:szCs w:val="20"/>
              </w:rPr>
              <w:t xml:space="preserve">(in fact, if not in law). </w:t>
            </w:r>
          </w:p>
        </w:tc>
      </w:tr>
      <w:tr w:rsidR="00E73F05" w:rsidRPr="00A60753" w14:paraId="2B0A3D9E" w14:textId="77777777" w:rsidTr="00E73F05">
        <w:tc>
          <w:tcPr>
            <w:tcW w:w="5240" w:type="dxa"/>
          </w:tcPr>
          <w:p w14:paraId="6C620A77" w14:textId="259ED3B1" w:rsidR="00E73F05" w:rsidRPr="00A60753" w:rsidRDefault="00E73F05" w:rsidP="00E73F05">
            <w:pPr>
              <w:pStyle w:val="ListParagraph"/>
              <w:numPr>
                <w:ilvl w:val="0"/>
                <w:numId w:val="1"/>
              </w:numPr>
              <w:rPr>
                <w:sz w:val="20"/>
                <w:szCs w:val="20"/>
              </w:rPr>
            </w:pPr>
            <w:r w:rsidRPr="00E73F05">
              <w:rPr>
                <w:sz w:val="20"/>
                <w:szCs w:val="20"/>
              </w:rPr>
              <w:t xml:space="preserve">How long the bus boycott lasted  </w:t>
            </w:r>
          </w:p>
        </w:tc>
        <w:tc>
          <w:tcPr>
            <w:tcW w:w="1843" w:type="dxa"/>
            <w:vMerge/>
            <w:tcBorders>
              <w:bottom w:val="nil"/>
            </w:tcBorders>
          </w:tcPr>
          <w:p w14:paraId="08387677" w14:textId="77777777" w:rsidR="00E73F05" w:rsidRPr="00A60753" w:rsidRDefault="00E73F05" w:rsidP="00E73F05">
            <w:pPr>
              <w:rPr>
                <w:sz w:val="20"/>
                <w:szCs w:val="20"/>
              </w:rPr>
            </w:pPr>
          </w:p>
        </w:tc>
        <w:tc>
          <w:tcPr>
            <w:tcW w:w="3685" w:type="dxa"/>
          </w:tcPr>
          <w:p w14:paraId="792567C1" w14:textId="6F4CC3EC" w:rsidR="00E73F05" w:rsidRPr="00E73F05" w:rsidRDefault="00E73F05" w:rsidP="00E73F05">
            <w:pPr>
              <w:rPr>
                <w:sz w:val="20"/>
                <w:szCs w:val="20"/>
              </w:rPr>
            </w:pPr>
            <w:r w:rsidRPr="00E73F05">
              <w:rPr>
                <w:sz w:val="20"/>
                <w:szCs w:val="20"/>
              </w:rPr>
              <w:t>Emmett Till, 1955</w:t>
            </w:r>
          </w:p>
        </w:tc>
      </w:tr>
      <w:tr w:rsidR="00E73F05" w:rsidRPr="00A60753" w14:paraId="223AA56E" w14:textId="77777777" w:rsidTr="00E73F05">
        <w:tc>
          <w:tcPr>
            <w:tcW w:w="5240" w:type="dxa"/>
          </w:tcPr>
          <w:p w14:paraId="36069F43" w14:textId="66C6A2AC" w:rsidR="00E73F05" w:rsidRPr="00A60753" w:rsidRDefault="00E73F05" w:rsidP="00E73F05">
            <w:pPr>
              <w:pStyle w:val="ListParagraph"/>
              <w:numPr>
                <w:ilvl w:val="0"/>
                <w:numId w:val="1"/>
              </w:numPr>
              <w:rPr>
                <w:sz w:val="20"/>
                <w:szCs w:val="20"/>
              </w:rPr>
            </w:pPr>
            <w:r w:rsidRPr="00A60753">
              <w:rPr>
                <w:sz w:val="20"/>
                <w:szCs w:val="20"/>
              </w:rPr>
              <w:t>The SC decision to uphold bus desegregation</w:t>
            </w:r>
            <w:r>
              <w:rPr>
                <w:sz w:val="20"/>
                <w:szCs w:val="20"/>
              </w:rPr>
              <w:t xml:space="preserve"> (that segregation was unconstitutional).</w:t>
            </w:r>
          </w:p>
        </w:tc>
        <w:tc>
          <w:tcPr>
            <w:tcW w:w="1843" w:type="dxa"/>
            <w:vMerge/>
            <w:tcBorders>
              <w:bottom w:val="nil"/>
            </w:tcBorders>
          </w:tcPr>
          <w:p w14:paraId="3718A216" w14:textId="77777777" w:rsidR="00E73F05" w:rsidRPr="00A60753" w:rsidRDefault="00E73F05" w:rsidP="00E73F05">
            <w:pPr>
              <w:rPr>
                <w:sz w:val="20"/>
                <w:szCs w:val="20"/>
              </w:rPr>
            </w:pPr>
          </w:p>
        </w:tc>
        <w:tc>
          <w:tcPr>
            <w:tcW w:w="3685" w:type="dxa"/>
          </w:tcPr>
          <w:p w14:paraId="470EEA2D" w14:textId="29F9337A" w:rsidR="00E73F05" w:rsidRPr="00E73F05" w:rsidRDefault="00E73F05" w:rsidP="00E73F05">
            <w:pPr>
              <w:rPr>
                <w:sz w:val="20"/>
                <w:szCs w:val="20"/>
              </w:rPr>
            </w:pPr>
            <w:r w:rsidRPr="00E73F05">
              <w:rPr>
                <w:sz w:val="20"/>
                <w:szCs w:val="20"/>
              </w:rPr>
              <w:t>70,000</w:t>
            </w:r>
          </w:p>
        </w:tc>
      </w:tr>
      <w:tr w:rsidR="00E73F05" w:rsidRPr="00A60753" w14:paraId="0182F5E3" w14:textId="77777777" w:rsidTr="00E73F05">
        <w:tc>
          <w:tcPr>
            <w:tcW w:w="5240" w:type="dxa"/>
          </w:tcPr>
          <w:p w14:paraId="6673B13C" w14:textId="076ED4DA" w:rsidR="00E73F05" w:rsidRPr="00A60753" w:rsidRDefault="00E73F05" w:rsidP="00E73F05">
            <w:pPr>
              <w:pStyle w:val="ListParagraph"/>
              <w:numPr>
                <w:ilvl w:val="0"/>
                <w:numId w:val="1"/>
              </w:numPr>
              <w:rPr>
                <w:sz w:val="20"/>
                <w:szCs w:val="20"/>
              </w:rPr>
            </w:pPr>
            <w:r>
              <w:rPr>
                <w:sz w:val="20"/>
                <w:szCs w:val="20"/>
              </w:rPr>
              <w:t>One of the most famous cases of racial injustice in US history</w:t>
            </w:r>
          </w:p>
        </w:tc>
        <w:tc>
          <w:tcPr>
            <w:tcW w:w="1843" w:type="dxa"/>
            <w:vMerge/>
            <w:tcBorders>
              <w:bottom w:val="nil"/>
            </w:tcBorders>
          </w:tcPr>
          <w:p w14:paraId="7F632768" w14:textId="77777777" w:rsidR="00E73F05" w:rsidRPr="00A60753" w:rsidRDefault="00E73F05" w:rsidP="00E73F05">
            <w:pPr>
              <w:rPr>
                <w:sz w:val="20"/>
                <w:szCs w:val="20"/>
              </w:rPr>
            </w:pPr>
          </w:p>
        </w:tc>
        <w:tc>
          <w:tcPr>
            <w:tcW w:w="3685" w:type="dxa"/>
          </w:tcPr>
          <w:p w14:paraId="19EBAE1B" w14:textId="0AD83846" w:rsidR="00E73F05" w:rsidRPr="00E73F05" w:rsidRDefault="00E73F05" w:rsidP="00E73F05">
            <w:pPr>
              <w:rPr>
                <w:sz w:val="20"/>
                <w:szCs w:val="20"/>
              </w:rPr>
            </w:pPr>
            <w:r w:rsidRPr="00E73F05">
              <w:rPr>
                <w:sz w:val="20"/>
                <w:szCs w:val="20"/>
              </w:rPr>
              <w:t>The 1875 Civil Rights Act</w:t>
            </w:r>
          </w:p>
        </w:tc>
      </w:tr>
      <w:tr w:rsidR="00E73F05" w:rsidRPr="00A60753" w14:paraId="41F192DE" w14:textId="77777777" w:rsidTr="00E73F05">
        <w:tc>
          <w:tcPr>
            <w:tcW w:w="5240" w:type="dxa"/>
          </w:tcPr>
          <w:p w14:paraId="694EE565" w14:textId="545E2A7B" w:rsidR="00E73F05" w:rsidRPr="00A60753" w:rsidRDefault="00E73F05" w:rsidP="00E73F05">
            <w:pPr>
              <w:pStyle w:val="ListParagraph"/>
              <w:numPr>
                <w:ilvl w:val="0"/>
                <w:numId w:val="1"/>
              </w:numPr>
              <w:rPr>
                <w:sz w:val="20"/>
                <w:szCs w:val="20"/>
              </w:rPr>
            </w:pPr>
            <w:r w:rsidRPr="00A60753">
              <w:rPr>
                <w:sz w:val="20"/>
                <w:szCs w:val="20"/>
              </w:rPr>
              <w:t>The name of the department store first used to stage a sit in by 4 black students, in Greensboro, North Carolina, 1</w:t>
            </w:r>
            <w:r w:rsidRPr="00A60753">
              <w:rPr>
                <w:sz w:val="20"/>
                <w:szCs w:val="20"/>
                <w:vertAlign w:val="superscript"/>
              </w:rPr>
              <w:t>st</w:t>
            </w:r>
            <w:r w:rsidRPr="00A60753">
              <w:rPr>
                <w:sz w:val="20"/>
                <w:szCs w:val="20"/>
              </w:rPr>
              <w:t xml:space="preserve"> Feb 1960</w:t>
            </w:r>
            <w:r>
              <w:rPr>
                <w:sz w:val="20"/>
                <w:szCs w:val="20"/>
              </w:rPr>
              <w:t xml:space="preserve">. The company desegregated lunch counters as a result, unable to sustain the loss of business. </w:t>
            </w:r>
          </w:p>
        </w:tc>
        <w:tc>
          <w:tcPr>
            <w:tcW w:w="1843" w:type="dxa"/>
            <w:vMerge/>
            <w:tcBorders>
              <w:bottom w:val="nil"/>
            </w:tcBorders>
          </w:tcPr>
          <w:p w14:paraId="12C33B18" w14:textId="77777777" w:rsidR="00E73F05" w:rsidRPr="00A60753" w:rsidRDefault="00E73F05" w:rsidP="00E73F05">
            <w:pPr>
              <w:rPr>
                <w:sz w:val="20"/>
                <w:szCs w:val="20"/>
              </w:rPr>
            </w:pPr>
          </w:p>
        </w:tc>
        <w:tc>
          <w:tcPr>
            <w:tcW w:w="3685" w:type="dxa"/>
          </w:tcPr>
          <w:p w14:paraId="66BED4AB" w14:textId="211CA827" w:rsidR="00E73F05" w:rsidRPr="00E73F05" w:rsidRDefault="00E73F05" w:rsidP="00E73F05">
            <w:pPr>
              <w:rPr>
                <w:sz w:val="20"/>
                <w:szCs w:val="20"/>
              </w:rPr>
            </w:pPr>
            <w:r w:rsidRPr="00E73F05">
              <w:rPr>
                <w:sz w:val="20"/>
                <w:szCs w:val="20"/>
              </w:rPr>
              <w:t>7000 of Mississippi’s black population (90,000) could vote and white registrars asked questions such as ‘how many bubbles in a bar of soap’.,</w:t>
            </w:r>
          </w:p>
        </w:tc>
      </w:tr>
      <w:tr w:rsidR="00E73F05" w:rsidRPr="00A60753" w14:paraId="77B3E221" w14:textId="77777777" w:rsidTr="00E73F05">
        <w:tc>
          <w:tcPr>
            <w:tcW w:w="5240" w:type="dxa"/>
          </w:tcPr>
          <w:p w14:paraId="2334D67C" w14:textId="4DB2ECAA" w:rsidR="00E73F05" w:rsidRPr="00A60753" w:rsidRDefault="00E73F05" w:rsidP="00E73F05">
            <w:pPr>
              <w:pStyle w:val="ListParagraph"/>
              <w:numPr>
                <w:ilvl w:val="0"/>
                <w:numId w:val="1"/>
              </w:numPr>
              <w:rPr>
                <w:sz w:val="20"/>
                <w:szCs w:val="20"/>
              </w:rPr>
            </w:pPr>
            <w:r w:rsidRPr="00A60753">
              <w:rPr>
                <w:sz w:val="20"/>
                <w:szCs w:val="20"/>
              </w:rPr>
              <w:t>The number of students involved in the sit ins</w:t>
            </w:r>
            <w:r>
              <w:rPr>
                <w:sz w:val="20"/>
                <w:szCs w:val="20"/>
              </w:rPr>
              <w:t xml:space="preserve"> across the South during </w:t>
            </w:r>
            <w:r w:rsidRPr="00A60753">
              <w:rPr>
                <w:sz w:val="20"/>
                <w:szCs w:val="20"/>
              </w:rPr>
              <w:t>1960</w:t>
            </w:r>
          </w:p>
        </w:tc>
        <w:tc>
          <w:tcPr>
            <w:tcW w:w="1843" w:type="dxa"/>
            <w:vMerge/>
            <w:tcBorders>
              <w:bottom w:val="nil"/>
            </w:tcBorders>
          </w:tcPr>
          <w:p w14:paraId="3D1524A5" w14:textId="77777777" w:rsidR="00E73F05" w:rsidRPr="00A60753" w:rsidRDefault="00E73F05" w:rsidP="00E73F05">
            <w:pPr>
              <w:rPr>
                <w:sz w:val="20"/>
                <w:szCs w:val="20"/>
              </w:rPr>
            </w:pPr>
          </w:p>
        </w:tc>
        <w:tc>
          <w:tcPr>
            <w:tcW w:w="3685" w:type="dxa"/>
          </w:tcPr>
          <w:p w14:paraId="6F2BA05C" w14:textId="6C75FF94" w:rsidR="00E73F05" w:rsidRPr="00E73F05" w:rsidRDefault="00E73F05" w:rsidP="00E73F05">
            <w:pPr>
              <w:rPr>
                <w:sz w:val="20"/>
                <w:szCs w:val="20"/>
              </w:rPr>
            </w:pPr>
            <w:r w:rsidRPr="00E73F05">
              <w:rPr>
                <w:sz w:val="20"/>
                <w:szCs w:val="20"/>
              </w:rPr>
              <w:t>6,000 to 12,000</w:t>
            </w:r>
          </w:p>
        </w:tc>
      </w:tr>
      <w:tr w:rsidR="00E73F05" w:rsidRPr="00A60753" w14:paraId="30CCDFE9" w14:textId="77777777" w:rsidTr="00E73F05">
        <w:tc>
          <w:tcPr>
            <w:tcW w:w="5240" w:type="dxa"/>
          </w:tcPr>
          <w:p w14:paraId="5D04AA83" w14:textId="2BEF420D" w:rsidR="00E73F05" w:rsidRPr="00A60753" w:rsidRDefault="00E73F05" w:rsidP="00E73F05">
            <w:pPr>
              <w:pStyle w:val="ListParagraph"/>
              <w:numPr>
                <w:ilvl w:val="0"/>
                <w:numId w:val="1"/>
              </w:numPr>
              <w:rPr>
                <w:sz w:val="20"/>
                <w:szCs w:val="20"/>
              </w:rPr>
            </w:pPr>
            <w:r w:rsidRPr="00A60753">
              <w:rPr>
                <w:sz w:val="20"/>
                <w:szCs w:val="20"/>
              </w:rPr>
              <w:t>Ella Baker felt that this group’s actions rendered King’s top down approach obsolete</w:t>
            </w:r>
            <w:r>
              <w:rPr>
                <w:sz w:val="20"/>
                <w:szCs w:val="20"/>
              </w:rPr>
              <w:t xml:space="preserve">. This group’s new approach caused divisions and rivalries between civil rights groups. </w:t>
            </w:r>
          </w:p>
        </w:tc>
        <w:tc>
          <w:tcPr>
            <w:tcW w:w="1843" w:type="dxa"/>
            <w:vMerge/>
            <w:tcBorders>
              <w:bottom w:val="nil"/>
            </w:tcBorders>
          </w:tcPr>
          <w:p w14:paraId="170E54F6" w14:textId="77777777" w:rsidR="00E73F05" w:rsidRPr="00A60753" w:rsidRDefault="00E73F05" w:rsidP="00E73F05">
            <w:pPr>
              <w:rPr>
                <w:sz w:val="20"/>
                <w:szCs w:val="20"/>
              </w:rPr>
            </w:pPr>
          </w:p>
        </w:tc>
        <w:tc>
          <w:tcPr>
            <w:tcW w:w="3685" w:type="dxa"/>
          </w:tcPr>
          <w:p w14:paraId="1BDE0E07" w14:textId="4F2EDCE8" w:rsidR="00E73F05" w:rsidRPr="00E73F05" w:rsidRDefault="00E73F05" w:rsidP="00E73F05">
            <w:pPr>
              <w:rPr>
                <w:sz w:val="20"/>
                <w:szCs w:val="20"/>
              </w:rPr>
            </w:pPr>
            <w:r w:rsidRPr="00E73F05">
              <w:rPr>
                <w:sz w:val="20"/>
                <w:szCs w:val="20"/>
              </w:rPr>
              <w:t>The Fair Employment Board (federal hiring) and the Committee on Government Contract Compliance (federal contracts).</w:t>
            </w:r>
          </w:p>
        </w:tc>
      </w:tr>
      <w:tr w:rsidR="00E73F05" w:rsidRPr="00A60753" w14:paraId="145E70AB" w14:textId="77777777" w:rsidTr="00E73F05">
        <w:tc>
          <w:tcPr>
            <w:tcW w:w="5240" w:type="dxa"/>
          </w:tcPr>
          <w:p w14:paraId="07BA187E" w14:textId="73DEE960" w:rsidR="00E73F05" w:rsidRPr="00A60753" w:rsidRDefault="00E73F05" w:rsidP="00E73F05">
            <w:pPr>
              <w:pStyle w:val="ListParagraph"/>
              <w:numPr>
                <w:ilvl w:val="0"/>
                <w:numId w:val="1"/>
              </w:numPr>
              <w:rPr>
                <w:sz w:val="20"/>
                <w:szCs w:val="20"/>
              </w:rPr>
            </w:pPr>
            <w:r>
              <w:rPr>
                <w:sz w:val="20"/>
                <w:szCs w:val="20"/>
              </w:rPr>
              <w:t xml:space="preserve">Despite adding few voters, this was the first piece of civil rights legislation since 1875. </w:t>
            </w:r>
          </w:p>
        </w:tc>
        <w:tc>
          <w:tcPr>
            <w:tcW w:w="1843" w:type="dxa"/>
            <w:vMerge/>
            <w:tcBorders>
              <w:bottom w:val="nil"/>
            </w:tcBorders>
          </w:tcPr>
          <w:p w14:paraId="094A434A" w14:textId="77777777" w:rsidR="00E73F05" w:rsidRPr="00A60753" w:rsidRDefault="00E73F05" w:rsidP="00E73F05">
            <w:pPr>
              <w:rPr>
                <w:sz w:val="20"/>
                <w:szCs w:val="20"/>
              </w:rPr>
            </w:pPr>
          </w:p>
        </w:tc>
        <w:tc>
          <w:tcPr>
            <w:tcW w:w="3685" w:type="dxa"/>
          </w:tcPr>
          <w:p w14:paraId="01041320" w14:textId="398792EF" w:rsidR="00E73F05" w:rsidRPr="00E73F05" w:rsidRDefault="00E73F05" w:rsidP="00E73F05">
            <w:pPr>
              <w:rPr>
                <w:sz w:val="20"/>
                <w:szCs w:val="20"/>
              </w:rPr>
            </w:pPr>
            <w:r w:rsidRPr="00E73F05">
              <w:rPr>
                <w:sz w:val="20"/>
                <w:szCs w:val="20"/>
              </w:rPr>
              <w:t xml:space="preserve">Baton Rouge, Louisiana  </w:t>
            </w:r>
          </w:p>
        </w:tc>
      </w:tr>
      <w:tr w:rsidR="00E73F05" w:rsidRPr="00A60753" w14:paraId="64166823" w14:textId="77777777" w:rsidTr="00E73F05">
        <w:tc>
          <w:tcPr>
            <w:tcW w:w="5240" w:type="dxa"/>
          </w:tcPr>
          <w:p w14:paraId="42893D48" w14:textId="6341A3D3" w:rsidR="00E73F05" w:rsidRPr="00A60753" w:rsidRDefault="00E73F05" w:rsidP="00E73F05">
            <w:pPr>
              <w:pStyle w:val="ListParagraph"/>
              <w:numPr>
                <w:ilvl w:val="0"/>
                <w:numId w:val="1"/>
              </w:numPr>
              <w:rPr>
                <w:sz w:val="20"/>
                <w:szCs w:val="20"/>
              </w:rPr>
            </w:pPr>
            <w:r>
              <w:rPr>
                <w:sz w:val="20"/>
                <w:szCs w:val="20"/>
              </w:rPr>
              <w:t xml:space="preserve">Eisenhower was ‘shocked’ by these problems </w:t>
            </w:r>
          </w:p>
        </w:tc>
        <w:tc>
          <w:tcPr>
            <w:tcW w:w="1843" w:type="dxa"/>
            <w:vMerge/>
            <w:tcBorders>
              <w:bottom w:val="nil"/>
            </w:tcBorders>
          </w:tcPr>
          <w:p w14:paraId="2600D3D1" w14:textId="77777777" w:rsidR="00E73F05" w:rsidRPr="00A60753" w:rsidRDefault="00E73F05" w:rsidP="00E73F05">
            <w:pPr>
              <w:rPr>
                <w:sz w:val="20"/>
                <w:szCs w:val="20"/>
              </w:rPr>
            </w:pPr>
          </w:p>
        </w:tc>
        <w:tc>
          <w:tcPr>
            <w:tcW w:w="3685" w:type="dxa"/>
          </w:tcPr>
          <w:p w14:paraId="08CAB88B" w14:textId="09CFD83A" w:rsidR="00E73F05" w:rsidRPr="00E73F05" w:rsidRDefault="00E73F05" w:rsidP="00E73F05">
            <w:pPr>
              <w:rPr>
                <w:sz w:val="20"/>
                <w:szCs w:val="20"/>
              </w:rPr>
            </w:pPr>
            <w:r w:rsidRPr="00E73F05">
              <w:rPr>
                <w:sz w:val="20"/>
                <w:szCs w:val="20"/>
              </w:rPr>
              <w:t>9</w:t>
            </w:r>
          </w:p>
        </w:tc>
      </w:tr>
      <w:tr w:rsidR="00E73F05" w:rsidRPr="00A60753" w14:paraId="4A936452" w14:textId="77777777" w:rsidTr="00E73F05">
        <w:tc>
          <w:tcPr>
            <w:tcW w:w="5240" w:type="dxa"/>
          </w:tcPr>
          <w:p w14:paraId="7D518B33" w14:textId="71345655" w:rsidR="00E73F05" w:rsidRPr="00A60753" w:rsidRDefault="00E73F05" w:rsidP="00E73F05">
            <w:pPr>
              <w:pStyle w:val="ListParagraph"/>
              <w:numPr>
                <w:ilvl w:val="0"/>
                <w:numId w:val="1"/>
              </w:numPr>
              <w:rPr>
                <w:sz w:val="20"/>
                <w:szCs w:val="20"/>
              </w:rPr>
            </w:pPr>
            <w:r w:rsidRPr="00A60753">
              <w:rPr>
                <w:sz w:val="20"/>
                <w:szCs w:val="20"/>
              </w:rPr>
              <w:t>Name of the group and founder leading the Freedom Rides, 1961</w:t>
            </w:r>
          </w:p>
        </w:tc>
        <w:tc>
          <w:tcPr>
            <w:tcW w:w="1843" w:type="dxa"/>
            <w:vMerge/>
            <w:tcBorders>
              <w:bottom w:val="nil"/>
            </w:tcBorders>
          </w:tcPr>
          <w:p w14:paraId="3C562754" w14:textId="77777777" w:rsidR="00E73F05" w:rsidRPr="00A60753" w:rsidRDefault="00E73F05" w:rsidP="00E73F05">
            <w:pPr>
              <w:rPr>
                <w:sz w:val="20"/>
                <w:szCs w:val="20"/>
              </w:rPr>
            </w:pPr>
          </w:p>
        </w:tc>
        <w:tc>
          <w:tcPr>
            <w:tcW w:w="3685" w:type="dxa"/>
          </w:tcPr>
          <w:p w14:paraId="502F8879" w14:textId="17A07304" w:rsidR="00E73F05" w:rsidRPr="00E73F05" w:rsidRDefault="00E73F05" w:rsidP="00E73F05">
            <w:pPr>
              <w:rPr>
                <w:sz w:val="20"/>
                <w:szCs w:val="20"/>
              </w:rPr>
            </w:pPr>
            <w:r w:rsidRPr="00E73F05">
              <w:rPr>
                <w:sz w:val="20"/>
                <w:szCs w:val="20"/>
              </w:rPr>
              <w:t>CORE, James Farmer</w:t>
            </w:r>
          </w:p>
        </w:tc>
      </w:tr>
    </w:tbl>
    <w:p w14:paraId="33FD1BA6" w14:textId="3F6D8233" w:rsidR="001A425D" w:rsidRDefault="001A425D"/>
    <w:p w14:paraId="63099943" w14:textId="02498180" w:rsidR="001A425D" w:rsidRDefault="001A425D"/>
    <w:p w14:paraId="58F9BD07" w14:textId="7FD591DA" w:rsidR="001A425D" w:rsidRDefault="001A425D"/>
    <w:p w14:paraId="3F496702" w14:textId="7E0199A8" w:rsidR="001A425D" w:rsidRDefault="001A425D"/>
    <w:p w14:paraId="1E70AB62" w14:textId="636B9110" w:rsidR="001A425D" w:rsidRDefault="001A425D"/>
    <w:p w14:paraId="30A8F113" w14:textId="5C352CB5" w:rsidR="001A425D" w:rsidRDefault="001A425D">
      <w:bookmarkStart w:id="0" w:name="_GoBack"/>
      <w:bookmarkEnd w:id="0"/>
    </w:p>
    <w:p w14:paraId="7F010E8A" w14:textId="77777777" w:rsidR="001A425D" w:rsidRDefault="001A425D"/>
    <w:sectPr w:rsidR="001A425D" w:rsidSect="001A42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7329B"/>
    <w:multiLevelType w:val="hybridMultilevel"/>
    <w:tmpl w:val="25048E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83"/>
    <w:rsid w:val="000071DC"/>
    <w:rsid w:val="00093312"/>
    <w:rsid w:val="000F709B"/>
    <w:rsid w:val="00114053"/>
    <w:rsid w:val="001A425D"/>
    <w:rsid w:val="00244F52"/>
    <w:rsid w:val="00293940"/>
    <w:rsid w:val="002C062D"/>
    <w:rsid w:val="002C1D08"/>
    <w:rsid w:val="003721D5"/>
    <w:rsid w:val="003A51CA"/>
    <w:rsid w:val="00402E77"/>
    <w:rsid w:val="00446EF2"/>
    <w:rsid w:val="004C7345"/>
    <w:rsid w:val="005C7387"/>
    <w:rsid w:val="005D6969"/>
    <w:rsid w:val="00603DB8"/>
    <w:rsid w:val="00647D77"/>
    <w:rsid w:val="00674C11"/>
    <w:rsid w:val="006B717A"/>
    <w:rsid w:val="00797663"/>
    <w:rsid w:val="00815B22"/>
    <w:rsid w:val="008A6375"/>
    <w:rsid w:val="008B25FE"/>
    <w:rsid w:val="0098062D"/>
    <w:rsid w:val="00A60753"/>
    <w:rsid w:val="00B92AC6"/>
    <w:rsid w:val="00D12655"/>
    <w:rsid w:val="00E73283"/>
    <w:rsid w:val="00E73F05"/>
    <w:rsid w:val="00ED274B"/>
    <w:rsid w:val="00F3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152D"/>
  <w15:chartTrackingRefBased/>
  <w15:docId w15:val="{02598785-8276-4E69-8A39-356C2397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1F3"/>
    <w:pPr>
      <w:ind w:left="720"/>
      <w:contextualSpacing/>
    </w:pPr>
  </w:style>
  <w:style w:type="paragraph" w:styleId="BalloonText">
    <w:name w:val="Balloon Text"/>
    <w:basedOn w:val="Normal"/>
    <w:link w:val="BalloonTextChar"/>
    <w:uiPriority w:val="99"/>
    <w:semiHidden/>
    <w:unhideWhenUsed/>
    <w:rsid w:val="00A60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23</cp:revision>
  <cp:lastPrinted>2018-05-21T09:44:00Z</cp:lastPrinted>
  <dcterms:created xsi:type="dcterms:W3CDTF">2018-05-20T22:39:00Z</dcterms:created>
  <dcterms:modified xsi:type="dcterms:W3CDTF">2018-12-17T23:57:00Z</dcterms:modified>
</cp:coreProperties>
</file>